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74E03081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BA4E18">
        <w:rPr>
          <w:b/>
          <w:sz w:val="22"/>
          <w:szCs w:val="22"/>
        </w:rPr>
        <w:t xml:space="preserve">Устройство </w:t>
      </w:r>
      <w:r w:rsidR="00742F3B">
        <w:rPr>
          <w:b/>
          <w:sz w:val="22"/>
          <w:szCs w:val="22"/>
        </w:rPr>
        <w:t>натяжных потолков»</w:t>
      </w:r>
    </w:p>
    <w:p w14:paraId="7D679545" w14:textId="533D3AE7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BA4E18">
        <w:rPr>
          <w:b/>
        </w:rPr>
        <w:t>ГП-3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76B19FA8" w:rsidR="005D69A1" w:rsidRPr="00B30794" w:rsidRDefault="00742F3B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29.01.2025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0B14C7BC" w:rsidR="005D69A1" w:rsidRPr="001557B6" w:rsidRDefault="00742F3B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04.02.2025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0B72F576" w14:textId="4A2444DF" w:rsidR="00742F3B" w:rsidRDefault="00742F3B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07.2025-30.08.2025</w:t>
            </w:r>
            <w:bookmarkStart w:id="0" w:name="_GoBack"/>
            <w:bookmarkEnd w:id="0"/>
          </w:p>
          <w:p w14:paraId="169F3B4C" w14:textId="373F1E1C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42F3B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24</cp:revision>
  <dcterms:created xsi:type="dcterms:W3CDTF">2024-01-22T07:48:00Z</dcterms:created>
  <dcterms:modified xsi:type="dcterms:W3CDTF">2025-01-29T07:15:00Z</dcterms:modified>
</cp:coreProperties>
</file>