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3AC33F2F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B91F6C">
        <w:rPr>
          <w:rFonts w:ascii="Times New Roman" w:hAnsi="Times New Roman" w:cs="Times New Roman"/>
        </w:rPr>
        <w:t>Никифорову А.В.</w:t>
      </w:r>
    </w:p>
    <w:p w14:paraId="2921BA88" w14:textId="3FB5F7ED" w:rsidR="009F5FBE" w:rsidRPr="008517F3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 Андрей Вениаминович!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61EDCA9D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D0A21">
        <w:rPr>
          <w:rFonts w:ascii="Times New Roman" w:hAnsi="Times New Roman" w:cs="Times New Roman"/>
          <w:sz w:val="32"/>
          <w:szCs w:val="32"/>
        </w:rPr>
        <w:t xml:space="preserve">   </w:t>
      </w:r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Данный комплекс согласны выполнить на </w:t>
      </w:r>
      <w:proofErr w:type="spellStart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>безавансовой</w:t>
      </w:r>
      <w:proofErr w:type="spellEnd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основе (конкурентное преимущество).</w:t>
      </w:r>
      <w:bookmarkStart w:id="0" w:name="_GoBack"/>
      <w:bookmarkEnd w:id="0"/>
      <w:r w:rsidR="007D0A21" w:rsidRPr="007D0A21">
        <w:rPr>
          <w:rFonts w:ascii="Times New Roman" w:hAnsi="Times New Roman" w:cs="Times New Roman"/>
          <w:sz w:val="32"/>
          <w:szCs w:val="32"/>
        </w:rPr>
        <w:t xml:space="preserve">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lastRenderedPageBreak/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1DC7EA80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</w:t>
      </w:r>
      <w:r w:rsidR="00713D30">
        <w:rPr>
          <w:sz w:val="24"/>
          <w:szCs w:val="24"/>
          <w:lang w:eastAsia="zh-CN"/>
        </w:rPr>
        <w:t>(</w:t>
      </w:r>
      <w:r w:rsidR="000731A0">
        <w:rPr>
          <w:sz w:val="24"/>
          <w:szCs w:val="24"/>
          <w:lang w:eastAsia="zh-CN"/>
        </w:rPr>
        <w:t xml:space="preserve">ФИО и </w:t>
      </w:r>
      <w:proofErr w:type="spellStart"/>
      <w:proofErr w:type="gramStart"/>
      <w:r w:rsidR="000731A0">
        <w:rPr>
          <w:sz w:val="24"/>
          <w:szCs w:val="24"/>
          <w:lang w:eastAsia="zh-CN"/>
        </w:rPr>
        <w:t>моб.телефон</w:t>
      </w:r>
      <w:proofErr w:type="spellEnd"/>
      <w:proofErr w:type="gramEnd"/>
      <w:r w:rsidR="000731A0">
        <w:rPr>
          <w:sz w:val="24"/>
          <w:szCs w:val="24"/>
          <w:lang w:eastAsia="zh-CN"/>
        </w:rPr>
        <w:t xml:space="preserve">) </w:t>
      </w:r>
      <w:r w:rsidRPr="00A55476">
        <w:rPr>
          <w:sz w:val="24"/>
          <w:szCs w:val="24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Утина Анна Валериевна</cp:lastModifiedBy>
  <cp:revision>60</cp:revision>
  <cp:lastPrinted>2019-12-18T11:59:00Z</cp:lastPrinted>
  <dcterms:created xsi:type="dcterms:W3CDTF">2014-10-03T10:41:00Z</dcterms:created>
  <dcterms:modified xsi:type="dcterms:W3CDTF">2024-06-27T09:28:00Z</dcterms:modified>
</cp:coreProperties>
</file>